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68A6" w14:textId="77777777" w:rsidR="00D34560" w:rsidRDefault="00715679">
      <w:pPr>
        <w:pStyle w:val="Rubrik1"/>
      </w:pPr>
      <w:bookmarkStart w:id="0" w:name="Xdf93a0eeb31685672df6046253e75f96bf52464"/>
      <w:r>
        <w:rPr>
          <w:rFonts w:ascii="Arial" w:hAnsi="Arial"/>
          <w:sz w:val="48"/>
        </w:rPr>
        <w:t>Client Engagement: Building Trust and Delivering Value</w:t>
      </w:r>
    </w:p>
    <w:p w14:paraId="01A3AA02" w14:textId="77777777" w:rsidR="00D34560" w:rsidRDefault="00715679">
      <w:pPr>
        <w:pStyle w:val="Rubrik2"/>
      </w:pPr>
      <w:bookmarkStart w:id="1" w:name="Xe3ea0d8c926478d1e279a5de49e7b1c5565863a"/>
      <w:r>
        <w:rPr>
          <w:rFonts w:ascii="Arial" w:hAnsi="Arial"/>
          <w:sz w:val="40"/>
        </w:rPr>
        <w:t>Introduction: The Imperative of Client Engagement in Modern Consulting</w:t>
      </w:r>
    </w:p>
    <w:p w14:paraId="7EBDD262" w14:textId="77777777" w:rsidR="00D34560" w:rsidRDefault="00715679">
      <w:pPr>
        <w:pStyle w:val="FirstParagraph"/>
      </w:pPr>
      <w:r>
        <w:rPr>
          <w:rFonts w:ascii="Arial" w:hAnsi="Arial"/>
        </w:rPr>
        <w:t>In today's dynamic business environment, client engagement has evolved from a mere transactional interaction to a strategic imperative. Modern consulting demands more than just providing solutions; it requires fostering trusted partnerships built on mutual understanding and shared objectives. In a competitive landscape where clients seek consultants who can seamlessly integrate into their teams and deliver tangible results, mastering the art of client engagement is paramount.</w:t>
      </w:r>
    </w:p>
    <w:p w14:paraId="533CFAA1" w14:textId="77777777" w:rsidR="00D34560" w:rsidRDefault="00715679">
      <w:pPr>
        <w:pStyle w:val="Brdtext"/>
      </w:pPr>
      <w:r>
        <w:rPr>
          <w:rFonts w:ascii="Arial" w:hAnsi="Arial"/>
        </w:rPr>
        <w:t xml:space="preserve">This white paper delves into the core principles of effective client engagement, providing consultants with actionable best practices to cultivate stronger, more productive, and lasting client relationships. We will explore the foundational elements of building trust, the nuances of effective communication, and the critical importance of delivering measurable value. By adapting traditional engagement models to meet new business realities and client expectations, consultants can unlock the full potential of </w:t>
      </w:r>
      <w:r>
        <w:rPr>
          <w:rFonts w:ascii="Arial" w:hAnsi="Arial"/>
        </w:rPr>
        <w:t>their client relationships and achieve mutual success.</w:t>
      </w:r>
    </w:p>
    <w:p w14:paraId="6567CF9F" w14:textId="77777777" w:rsidR="00D34560" w:rsidRDefault="00715679">
      <w:pPr>
        <w:pStyle w:val="Rubrik2"/>
      </w:pPr>
      <w:bookmarkStart w:id="2" w:name="X3909e08e0242cb18d9213ec7c8bfb4b29759cff"/>
      <w:bookmarkEnd w:id="1"/>
      <w:r>
        <w:rPr>
          <w:rFonts w:ascii="Arial" w:hAnsi="Arial"/>
          <w:sz w:val="40"/>
        </w:rPr>
        <w:t>The Shifting Landscape: Understanding the Evolution of Client Expectations</w:t>
      </w:r>
    </w:p>
    <w:p w14:paraId="5A94FE7F" w14:textId="77777777" w:rsidR="00D34560" w:rsidRDefault="00715679">
      <w:pPr>
        <w:pStyle w:val="FirstParagraph"/>
      </w:pPr>
      <w:r>
        <w:rPr>
          <w:rFonts w:ascii="Arial" w:hAnsi="Arial"/>
        </w:rPr>
        <w:t>The consulting landscape has undergone a significant transformation, reshaping the dynamics between consultants and clients. Historically, consulting relationships were often transactional, characterized by a more detached expert-client dynamic. Today, clients expect collaborative partnerships built on mutual trust, transparency, and a deep understanding of their unique challenges and goals.</w:t>
      </w:r>
    </w:p>
    <w:p w14:paraId="20F43205" w14:textId="77777777" w:rsidR="00D34560" w:rsidRDefault="00715679">
      <w:pPr>
        <w:pStyle w:val="Brdtext"/>
      </w:pPr>
      <w:r>
        <w:rPr>
          <w:rFonts w:ascii="Arial" w:hAnsi="Arial"/>
        </w:rPr>
        <w:t>Several key drivers have fueled this evolution. Clients are now more sophisticated, possessing greater access to information and a clearer understanding of their needs. They demand a tangible return on investment (ROI) from consulting engagements, pushing consultants to demonstrate measurable value. The pervasive impact of digital transformation also necessitates a more agile, innovative, and tech-savvy approach to consulting.</w:t>
      </w:r>
    </w:p>
    <w:p w14:paraId="532FA229" w14:textId="77777777" w:rsidR="00D34560" w:rsidRDefault="00715679">
      <w:pPr>
        <w:pStyle w:val="Brdtext"/>
      </w:pPr>
      <w:r>
        <w:rPr>
          <w:rFonts w:ascii="Arial" w:hAnsi="Arial"/>
        </w:rPr>
        <w:t xml:space="preserve">These shifts necessitate a move away from traditional, top-down consulting models. Modern client engagement demands a proactive, empathetic, and value-driven approach. Consultants must actively listen to and understand client needs, proactively communicate progress and challenges, and consistently deliver measurable results that align with client objectives. Building rapport, fostering open communication, and </w:t>
      </w:r>
      <w:r>
        <w:rPr>
          <w:rFonts w:ascii="Arial" w:hAnsi="Arial"/>
        </w:rPr>
        <w:lastRenderedPageBreak/>
        <w:t>demonstrating a genuine commitment to client success are now essential components of a successful consulting engagement.</w:t>
      </w:r>
    </w:p>
    <w:p w14:paraId="656CEF83" w14:textId="77777777" w:rsidR="00D34560" w:rsidRDefault="00715679">
      <w:pPr>
        <w:pStyle w:val="Rubrik2"/>
      </w:pPr>
      <w:bookmarkStart w:id="3" w:name="X27073239f0c418f38602dcfb25f6a9342b7adbd"/>
      <w:bookmarkEnd w:id="2"/>
      <w:r>
        <w:rPr>
          <w:rFonts w:ascii="Arial" w:hAnsi="Arial"/>
          <w:sz w:val="40"/>
        </w:rPr>
        <w:t>Pillar 1: Forging Bedrock Trust – The Cornerstone of Lasting Partnerships</w:t>
      </w:r>
    </w:p>
    <w:p w14:paraId="1F2D4EA8" w14:textId="77777777" w:rsidR="00D34560" w:rsidRDefault="00715679">
      <w:pPr>
        <w:pStyle w:val="FirstParagraph"/>
      </w:pPr>
      <w:r>
        <w:rPr>
          <w:rFonts w:ascii="Arial" w:hAnsi="Arial"/>
        </w:rPr>
        <w:t>Trust forms the bedrock of any successful and enduring client-consultant relationship. It's the foundation upon which open communication, collaboration, and ultimately, the delivery of exceptional value are built. Without trust, even the most brilliant strategies and innovative solutions can falter. This section explores the essential elements of building trust, providing actionable advice for consultants to cultivate and maintain this critical asset.</w:t>
      </w:r>
    </w:p>
    <w:p w14:paraId="282F433F" w14:textId="77777777" w:rsidR="00D34560" w:rsidRDefault="00715679">
      <w:pPr>
        <w:pStyle w:val="Rubrik3"/>
      </w:pPr>
      <w:bookmarkStart w:id="4" w:name="transparency-and-honesty"/>
      <w:r>
        <w:rPr>
          <w:rFonts w:ascii="Arial" w:hAnsi="Arial"/>
          <w:sz w:val="36"/>
        </w:rPr>
        <w:t>Transparency and Honesty</w:t>
      </w:r>
    </w:p>
    <w:p w14:paraId="383394EA" w14:textId="77777777" w:rsidR="00D34560" w:rsidRDefault="00715679">
      <w:pPr>
        <w:pStyle w:val="FirstParagraph"/>
      </w:pPr>
      <w:r>
        <w:rPr>
          <w:rFonts w:ascii="Arial" w:hAnsi="Arial"/>
        </w:rPr>
        <w:t>Open communication is paramount. Consultants should be upfront about their capabilities, honestly addressing both strengths and limitations. Providing regular updates on project progress, proactively communicating challenges, and openly sharing insights fosters an environment of trust. Avoiding jargon and explaining complex issues in a clear, accessible manner further reinforces transparency.</w:t>
      </w:r>
    </w:p>
    <w:p w14:paraId="2DE4A45C" w14:textId="77777777" w:rsidR="00D34560" w:rsidRDefault="00715679">
      <w:pPr>
        <w:pStyle w:val="Rubrik3"/>
      </w:pPr>
      <w:bookmarkStart w:id="5" w:name="reliability-and-consistency"/>
      <w:bookmarkEnd w:id="4"/>
      <w:r>
        <w:rPr>
          <w:rFonts w:ascii="Arial" w:hAnsi="Arial"/>
          <w:sz w:val="36"/>
        </w:rPr>
        <w:t>Reliability and Consistency</w:t>
      </w:r>
    </w:p>
    <w:p w14:paraId="37821E9C" w14:textId="77777777" w:rsidR="00D34560" w:rsidRDefault="00715679">
      <w:pPr>
        <w:pStyle w:val="FirstParagraph"/>
      </w:pPr>
      <w:r>
        <w:rPr>
          <w:rFonts w:ascii="Arial" w:hAnsi="Arial"/>
        </w:rPr>
        <w:t>Actions speak louder than words. Consistently delivering on promises, meeting deadlines, and maintaining a high standard of quality are crucial for establishing reliability. Clients need to know they can depend on their consultants. Set realistic expectations from the outset and consistently exceed them to solidify trust.</w:t>
      </w:r>
    </w:p>
    <w:p w14:paraId="15DD2190" w14:textId="77777777" w:rsidR="00D34560" w:rsidRDefault="00715679">
      <w:pPr>
        <w:pStyle w:val="Rubrik3"/>
      </w:pPr>
      <w:bookmarkStart w:id="6" w:name="empathy-and-understanding"/>
      <w:bookmarkEnd w:id="5"/>
      <w:r>
        <w:rPr>
          <w:rFonts w:ascii="Arial" w:hAnsi="Arial"/>
          <w:sz w:val="36"/>
        </w:rPr>
        <w:t>Empathy and Understanding</w:t>
      </w:r>
    </w:p>
    <w:p w14:paraId="5F5D5173" w14:textId="77777777" w:rsidR="00D34560" w:rsidRDefault="00715679">
      <w:pPr>
        <w:pStyle w:val="FirstParagraph"/>
      </w:pPr>
      <w:r>
        <w:rPr>
          <w:rFonts w:ascii="Arial" w:hAnsi="Arial"/>
        </w:rPr>
        <w:t>Actively listening to clients is essential for understanding their needs, concerns, and organizational culture. This goes beyond simply hearing their words; it involves truly understanding their perspective and demonstrating genuine empathy. Tailoring solutions to align with their specific context and challenges reinforces that you are invested in their success.</w:t>
      </w:r>
    </w:p>
    <w:p w14:paraId="1A0A9534" w14:textId="77777777" w:rsidR="00D34560" w:rsidRDefault="00715679">
      <w:pPr>
        <w:pStyle w:val="Rubrik3"/>
      </w:pPr>
      <w:bookmarkStart w:id="7" w:name="competence-and-expertise"/>
      <w:bookmarkEnd w:id="6"/>
      <w:r>
        <w:rPr>
          <w:rFonts w:ascii="Arial" w:hAnsi="Arial"/>
          <w:sz w:val="36"/>
        </w:rPr>
        <w:t>Competence and Expertise</w:t>
      </w:r>
    </w:p>
    <w:p w14:paraId="230A9900" w14:textId="77777777" w:rsidR="00D34560" w:rsidRDefault="00715679">
      <w:pPr>
        <w:pStyle w:val="FirstParagraph"/>
      </w:pPr>
      <w:r>
        <w:rPr>
          <w:rFonts w:ascii="Arial" w:hAnsi="Arial"/>
        </w:rPr>
        <w:t>Demonstrating deep knowledge and skill in the relevant domain is fundamental. Clients entrust consultants with solving complex problems, and they need to be confident in their expertise. Sharing relevant case studies, insights, and industry best practices showcases competence and reinforces credibility.</w:t>
      </w:r>
    </w:p>
    <w:p w14:paraId="689C55D0" w14:textId="77777777" w:rsidR="00D34560" w:rsidRDefault="00715679">
      <w:pPr>
        <w:pStyle w:val="Rubrik3"/>
      </w:pPr>
      <w:bookmarkStart w:id="8" w:name="ethical-conduct"/>
      <w:bookmarkEnd w:id="7"/>
      <w:r>
        <w:rPr>
          <w:rFonts w:ascii="Arial" w:hAnsi="Arial"/>
          <w:sz w:val="36"/>
        </w:rPr>
        <w:t>Ethical Conduct</w:t>
      </w:r>
    </w:p>
    <w:p w14:paraId="5094EAF9" w14:textId="77777777" w:rsidR="00D34560" w:rsidRDefault="00715679">
      <w:pPr>
        <w:pStyle w:val="FirstParagraph"/>
      </w:pPr>
      <w:r>
        <w:rPr>
          <w:rFonts w:ascii="Arial" w:hAnsi="Arial"/>
        </w:rPr>
        <w:t xml:space="preserve">Upholding the highest standards of integrity and professional ethics is non-negotiable. Confidentiality, objectivity, and fairness are essential. Always act in the client's best </w:t>
      </w:r>
      <w:r>
        <w:rPr>
          <w:rFonts w:ascii="Arial" w:hAnsi="Arial"/>
        </w:rPr>
        <w:lastRenderedPageBreak/>
        <w:t>interest, even when it requires difficult conversations or unpopular advice. Ethical conduct reinforces trust and demonstrates a commitment to long-term partnership.</w:t>
      </w:r>
    </w:p>
    <w:p w14:paraId="7C072733" w14:textId="77777777" w:rsidR="00D34560" w:rsidRDefault="00715679">
      <w:pPr>
        <w:pStyle w:val="Brdtext"/>
      </w:pPr>
      <w:r>
        <w:rPr>
          <w:rFonts w:ascii="Arial" w:hAnsi="Arial"/>
        </w:rPr>
        <w:t>Trust is not built overnight; it's earned over time through consistent action. From the initial interaction through project completion and beyond, consultants must consciously embody these qualities to forge lasting partnerships built on bedrock trust.</w:t>
      </w:r>
    </w:p>
    <w:p w14:paraId="3977BA13" w14:textId="77777777" w:rsidR="00D34560" w:rsidRDefault="00715679">
      <w:pPr>
        <w:pStyle w:val="Rubrik2"/>
      </w:pPr>
      <w:bookmarkStart w:id="9" w:name="X58fa72571426afa38c4df2a1665a4bd4c648a91"/>
      <w:bookmarkEnd w:id="8"/>
      <w:bookmarkEnd w:id="3"/>
      <w:r>
        <w:rPr>
          <w:rFonts w:ascii="Arial" w:hAnsi="Arial"/>
          <w:sz w:val="40"/>
        </w:rPr>
        <w:t>Pillar 2: The Art of Connection – Mastering Effective Communication Strategies</w:t>
      </w:r>
    </w:p>
    <w:p w14:paraId="412A4FFB" w14:textId="77777777" w:rsidR="00D34560" w:rsidRDefault="00715679">
      <w:pPr>
        <w:pStyle w:val="FirstParagraph"/>
      </w:pPr>
      <w:r>
        <w:rPr>
          <w:rFonts w:ascii="Arial" w:hAnsi="Arial"/>
        </w:rPr>
        <w:t>Effective communication is the lifeblood of any successful consulting engagement. It's the bridge that connects consultants with their clients, ensuring alignment, fostering collaboration, and ultimately, driving results. This section explores the multifaceted nature of communication in consulting, providing actionable strategies for mastering this essential art.</w:t>
      </w:r>
    </w:p>
    <w:p w14:paraId="0F4B2B4D" w14:textId="77777777" w:rsidR="00D34560" w:rsidRDefault="00715679">
      <w:pPr>
        <w:pStyle w:val="Rubrik3"/>
      </w:pPr>
      <w:bookmarkStart w:id="10" w:name="active-listening"/>
      <w:r>
        <w:rPr>
          <w:rFonts w:ascii="Arial" w:hAnsi="Arial"/>
          <w:sz w:val="36"/>
        </w:rPr>
        <w:t>Active Listening</w:t>
      </w:r>
    </w:p>
    <w:p w14:paraId="51C8D7A7" w14:textId="77777777" w:rsidR="00D34560" w:rsidRDefault="00715679">
      <w:pPr>
        <w:pStyle w:val="FirstParagraph"/>
      </w:pPr>
      <w:r>
        <w:rPr>
          <w:rFonts w:ascii="Arial" w:hAnsi="Arial"/>
        </w:rPr>
        <w:t>True communication begins with listening. Active listening goes beyond simply hearing the client's words; it involves fully focusing, understanding the underlying message, and responding thoughtfully. Techniques include paying attention to non-verbal cues, asking clarifying questions, and summarizing key points to confirm understanding. This demonstrates respect and ensures that the consultant grasps the client's true needs and perspectives.</w:t>
      </w:r>
    </w:p>
    <w:p w14:paraId="210601BA" w14:textId="77777777" w:rsidR="00D34560" w:rsidRDefault="00715679">
      <w:pPr>
        <w:pStyle w:val="Rubrik3"/>
      </w:pPr>
      <w:bookmarkStart w:id="11" w:name="clarity-and-conciseness"/>
      <w:bookmarkEnd w:id="10"/>
      <w:r>
        <w:rPr>
          <w:rFonts w:ascii="Arial" w:hAnsi="Arial"/>
          <w:sz w:val="36"/>
        </w:rPr>
        <w:t>Clarity and Conciseness</w:t>
      </w:r>
    </w:p>
    <w:p w14:paraId="7E7D1129" w14:textId="77777777" w:rsidR="00D34560" w:rsidRDefault="00715679">
      <w:pPr>
        <w:pStyle w:val="FirstParagraph"/>
      </w:pPr>
      <w:r>
        <w:rPr>
          <w:rFonts w:ascii="Arial" w:hAnsi="Arial"/>
        </w:rPr>
        <w:t>Consulting often involves complex information, but effective communication demands simplicity. Avoiding industry jargon and technical terms is crucial for conveying information clearly and concisely. Focus on using plain language and illustrating concepts with real-world examples. This ensures that all stakeholders, regardless of their technical expertise, can easily understand the message.</w:t>
      </w:r>
    </w:p>
    <w:p w14:paraId="1F0854DF" w14:textId="77777777" w:rsidR="00D34560" w:rsidRDefault="00715679">
      <w:pPr>
        <w:pStyle w:val="Rubrik3"/>
      </w:pPr>
      <w:bookmarkStart w:id="12" w:name="proactive-communication"/>
      <w:bookmarkEnd w:id="11"/>
      <w:r>
        <w:rPr>
          <w:rFonts w:ascii="Arial" w:hAnsi="Arial"/>
          <w:sz w:val="36"/>
        </w:rPr>
        <w:t>Proactive Communication</w:t>
      </w:r>
    </w:p>
    <w:p w14:paraId="1DACB5F9" w14:textId="77777777" w:rsidR="00D34560" w:rsidRDefault="00715679">
      <w:pPr>
        <w:pStyle w:val="FirstParagraph"/>
      </w:pPr>
      <w:r>
        <w:rPr>
          <w:rFonts w:ascii="Arial" w:hAnsi="Arial"/>
        </w:rPr>
        <w:t>Keeping clients informed about progress, potential roadblocks, and upcoming milestones is essential for managing expectations and building trust. Proactive communication involves regularly providing updates, anticipating potential issues, and addressing concerns promptly. This demonstrates a commitment to transparency and helps to avoid misunderstandings.</w:t>
      </w:r>
    </w:p>
    <w:p w14:paraId="05CDC576" w14:textId="77777777" w:rsidR="00D34560" w:rsidRDefault="00715679">
      <w:pPr>
        <w:pStyle w:val="Rubrik3"/>
      </w:pPr>
      <w:bookmarkStart w:id="13" w:name="tailoring-communication-styles"/>
      <w:bookmarkEnd w:id="12"/>
      <w:r>
        <w:rPr>
          <w:rFonts w:ascii="Arial" w:hAnsi="Arial"/>
          <w:sz w:val="36"/>
        </w:rPr>
        <w:t>Tailoring Communication Styles</w:t>
      </w:r>
    </w:p>
    <w:p w14:paraId="421CF597" w14:textId="77777777" w:rsidR="00D34560" w:rsidRDefault="00715679">
      <w:pPr>
        <w:pStyle w:val="FirstParagraph"/>
      </w:pPr>
      <w:r>
        <w:rPr>
          <w:rFonts w:ascii="Arial" w:hAnsi="Arial"/>
        </w:rPr>
        <w:t xml:space="preserve">Recognizing that different stakeholders have different communication preferences is vital. Adapting communication methods and language to suit the audience, whether it's executive leadership or technical teams, ensures that the message resonates effectively. Some may prefer detailed reports, while others may prefer brief summaries </w:t>
      </w:r>
      <w:r>
        <w:rPr>
          <w:rFonts w:ascii="Arial" w:hAnsi="Arial"/>
        </w:rPr>
        <w:lastRenderedPageBreak/>
        <w:t>or visual presentations. Understanding these preferences and tailoring the approach accordingly enhances engagement and comprehension.</w:t>
      </w:r>
    </w:p>
    <w:p w14:paraId="6C0684C2" w14:textId="77777777" w:rsidR="00D34560" w:rsidRDefault="00715679">
      <w:pPr>
        <w:pStyle w:val="Rubrik3"/>
      </w:pPr>
      <w:bookmarkStart w:id="14" w:name="feedback-mechanisms"/>
      <w:bookmarkEnd w:id="13"/>
      <w:r>
        <w:rPr>
          <w:rFonts w:ascii="Arial" w:hAnsi="Arial"/>
          <w:sz w:val="36"/>
        </w:rPr>
        <w:t>Feedback Mechanisms</w:t>
      </w:r>
    </w:p>
    <w:p w14:paraId="511FFDB0" w14:textId="77777777" w:rsidR="00D34560" w:rsidRDefault="00715679">
      <w:pPr>
        <w:pStyle w:val="FirstParagraph"/>
      </w:pPr>
      <w:r>
        <w:rPr>
          <w:rFonts w:ascii="Arial" w:hAnsi="Arial"/>
        </w:rPr>
        <w:t>Establishing clear channels for both giving and receiving feedback is critical for continuous improvement. Regularly soliciting feedback from clients provides valuable insights into their satisfaction levels and areas for improvement. Similarly, providing constructive feedback to clients can help them to better understand the consultant's perspective and make informed decisions. This two-way feedback loop fosters a culture of open communication and collaboration.</w:t>
      </w:r>
    </w:p>
    <w:p w14:paraId="5354227A" w14:textId="77777777" w:rsidR="00D34560" w:rsidRDefault="00715679">
      <w:pPr>
        <w:pStyle w:val="Rubrik3"/>
      </w:pPr>
      <w:bookmarkStart w:id="15" w:name="managing-difficult-conversations"/>
      <w:bookmarkEnd w:id="14"/>
      <w:r>
        <w:rPr>
          <w:rFonts w:ascii="Arial" w:hAnsi="Arial"/>
          <w:sz w:val="36"/>
        </w:rPr>
        <w:t>Managing Difficult Conversations</w:t>
      </w:r>
    </w:p>
    <w:p w14:paraId="5DBB7E7B" w14:textId="77777777" w:rsidR="00D34560" w:rsidRDefault="00715679">
      <w:pPr>
        <w:pStyle w:val="FirstParagraph"/>
      </w:pPr>
      <w:r>
        <w:rPr>
          <w:rFonts w:ascii="Arial" w:hAnsi="Arial"/>
        </w:rPr>
        <w:t>Disagreements, scope changes, and unwelcome news are inevitable in consulting engagements. Handling these situations professionally and constructively is crucial for maintaining positive client relationships. Strategies include focusing on facts, actively listening to the client's perspective, and seeking mutually agreeable solutions. Approaching difficult conversations with empathy and a commitment to finding common ground can help to de-escalate tension and preserve trust.</w:t>
      </w:r>
    </w:p>
    <w:p w14:paraId="7CF01E8E" w14:textId="77777777" w:rsidR="00D34560" w:rsidRDefault="00715679">
      <w:pPr>
        <w:pStyle w:val="Brdtext"/>
      </w:pPr>
      <w:r>
        <w:rPr>
          <w:rFonts w:ascii="Arial" w:hAnsi="Arial"/>
        </w:rPr>
        <w:t>Regular, meaningful touchpoints are essential for nurturing client relationships. Choose the right medium for different types of communication, whether it's email, phone calls, video conferencing, or in-person meetings. By mastering the art of connection, consultants can build stronger relationships, foster greater collaboration, and deliver more impactful results.</w:t>
      </w:r>
    </w:p>
    <w:p w14:paraId="22D120AE" w14:textId="77777777" w:rsidR="00D34560" w:rsidRDefault="00715679">
      <w:pPr>
        <w:pStyle w:val="Rubrik2"/>
      </w:pPr>
      <w:bookmarkStart w:id="16" w:name="Xf3638cd9905516e7da47dda41364c6a6fa6fd9e"/>
      <w:bookmarkEnd w:id="15"/>
      <w:bookmarkEnd w:id="9"/>
      <w:r>
        <w:rPr>
          <w:rFonts w:ascii="Arial" w:hAnsi="Arial"/>
          <w:sz w:val="40"/>
        </w:rPr>
        <w:t>Pillar 3: Beyond Deliverables – Demonstrating Tangible Value and Measurable Impact</w:t>
      </w:r>
    </w:p>
    <w:p w14:paraId="4BDF66B0" w14:textId="77777777" w:rsidR="00D34560" w:rsidRDefault="00715679">
      <w:pPr>
        <w:pStyle w:val="FirstParagraph"/>
      </w:pPr>
      <w:r>
        <w:rPr>
          <w:rFonts w:ascii="Arial" w:hAnsi="Arial"/>
        </w:rPr>
        <w:t>While delivering projects on time and within budget is important, modern consulting demands going beyond simply completing tasks. It requires demonstrating tangible value and measurable impact that aligns with the client's strategic objectives. Clients need to see a clear return on their investment, articulated in terms that resonate with their business priorities.</w:t>
      </w:r>
    </w:p>
    <w:p w14:paraId="54733F9C" w14:textId="77777777" w:rsidR="00D34560" w:rsidRDefault="00715679">
      <w:pPr>
        <w:pStyle w:val="Rubrik3"/>
      </w:pPr>
      <w:bookmarkStart w:id="17" w:name="defining-success-metrics-collaboratively"/>
      <w:r>
        <w:rPr>
          <w:rFonts w:ascii="Arial" w:hAnsi="Arial"/>
          <w:sz w:val="36"/>
        </w:rPr>
        <w:t>Defining Success Metrics Collaboratively</w:t>
      </w:r>
    </w:p>
    <w:p w14:paraId="645C1D0F" w14:textId="77777777" w:rsidR="00D34560" w:rsidRDefault="00715679">
      <w:pPr>
        <w:pStyle w:val="FirstParagraph"/>
      </w:pPr>
      <w:r>
        <w:rPr>
          <w:rFonts w:ascii="Arial" w:hAnsi="Arial"/>
        </w:rPr>
        <w:t>From the outset, consultants must collaborate with clients to define clear, measurable, achievable, relevant, and time-bound (SMART) outcomes. This involves a thorough understanding of the client's goals, challenges, and key performance indicators (KPIs). By establishing these success metrics upfront, both parties have a shared understanding of what constitutes a successful engagement and can track progress effectively.</w:t>
      </w:r>
    </w:p>
    <w:p w14:paraId="3CD3BD0A" w14:textId="77777777" w:rsidR="00D34560" w:rsidRDefault="00715679">
      <w:pPr>
        <w:pStyle w:val="Rubrik3"/>
      </w:pPr>
      <w:bookmarkStart w:id="18" w:name="aligning-with-client-business-objectives"/>
      <w:bookmarkEnd w:id="17"/>
      <w:r>
        <w:rPr>
          <w:rFonts w:ascii="Arial" w:hAnsi="Arial"/>
          <w:sz w:val="36"/>
        </w:rPr>
        <w:lastRenderedPageBreak/>
        <w:t>Aligning with Client Business Objectives</w:t>
      </w:r>
    </w:p>
    <w:p w14:paraId="2207F463" w14:textId="77777777" w:rsidR="00D34560" w:rsidRDefault="00715679">
      <w:pPr>
        <w:pStyle w:val="FirstParagraph"/>
      </w:pPr>
      <w:r>
        <w:rPr>
          <w:rFonts w:ascii="Arial" w:hAnsi="Arial"/>
        </w:rPr>
        <w:t>All consulting activities and deliverables should directly support the client's broader strategic goals and address their core business challenges. This requires a deep understanding of the client's industry, competitive landscape, and internal operations. By aligning consulting efforts with these objectives, consultants can ensure that their work is relevant, impactful, and contributes to the client's overall success.</w:t>
      </w:r>
    </w:p>
    <w:p w14:paraId="263745F2" w14:textId="77777777" w:rsidR="00D34560" w:rsidRDefault="00715679">
      <w:pPr>
        <w:pStyle w:val="Rubrik3"/>
      </w:pPr>
      <w:bookmarkStart w:id="19" w:name="demonstrating-roi-and-business-impact"/>
      <w:bookmarkEnd w:id="18"/>
      <w:r>
        <w:rPr>
          <w:rFonts w:ascii="Arial" w:hAnsi="Arial"/>
          <w:sz w:val="36"/>
        </w:rPr>
        <w:t>Demonstrating ROI and Business Impact</w:t>
      </w:r>
    </w:p>
    <w:p w14:paraId="31830F6F" w14:textId="77777777" w:rsidR="00D34560" w:rsidRDefault="00715679">
      <w:pPr>
        <w:pStyle w:val="FirstParagraph"/>
      </w:pPr>
      <w:r>
        <w:rPr>
          <w:rFonts w:ascii="Arial" w:hAnsi="Arial"/>
        </w:rPr>
        <w:t>Articulating the return on investment (ROI) for consulting services is crucial for demonstrating value. This involves quantifying the benefits of the engagement in terms the client understands and values, such as cost savings, revenue growth, efficiency improvements, or market share gains. Using data-driven insights and compelling storytelling to showcase the impact of the consulting services helps clients see the tangible value they are receiving.</w:t>
      </w:r>
    </w:p>
    <w:p w14:paraId="0BF3E9D9" w14:textId="77777777" w:rsidR="00D34560" w:rsidRDefault="00715679">
      <w:pPr>
        <w:pStyle w:val="Rubrik3"/>
      </w:pPr>
      <w:bookmarkStart w:id="20" w:name="co-creation-and-knowledge-transfer"/>
      <w:bookmarkEnd w:id="19"/>
      <w:r>
        <w:rPr>
          <w:rFonts w:ascii="Arial" w:hAnsi="Arial"/>
          <w:sz w:val="36"/>
        </w:rPr>
        <w:t>Co-creation and Knowledge Transfer</w:t>
      </w:r>
    </w:p>
    <w:p w14:paraId="275ED91D" w14:textId="77777777" w:rsidR="00D34560" w:rsidRDefault="00715679">
      <w:pPr>
        <w:pStyle w:val="FirstParagraph"/>
      </w:pPr>
      <w:r>
        <w:rPr>
          <w:rFonts w:ascii="Arial" w:hAnsi="Arial"/>
        </w:rPr>
        <w:t>Empowering clients by involving them in the solution-development process fosters ownership and ensures long-term sustainability. This includes collaborating with client teams, soliciting their input, and incorporating their expertise into the solutions. Furthermore, effective knowledge transfer is essential for building the client's internal capabilities and ensuring that they can continue to benefit from the consulting engagement long after it concludes.</w:t>
      </w:r>
    </w:p>
    <w:p w14:paraId="7CBBF89C" w14:textId="77777777" w:rsidR="00D34560" w:rsidRDefault="00715679">
      <w:pPr>
        <w:pStyle w:val="Rubrik3"/>
      </w:pPr>
      <w:bookmarkStart w:id="21" w:name="post-engagement-value"/>
      <w:bookmarkEnd w:id="20"/>
      <w:r>
        <w:rPr>
          <w:rFonts w:ascii="Arial" w:hAnsi="Arial"/>
          <w:sz w:val="36"/>
        </w:rPr>
        <w:t>Post-Engagement Value</w:t>
      </w:r>
    </w:p>
    <w:p w14:paraId="523D7906" w14:textId="77777777" w:rsidR="00D34560" w:rsidRDefault="00715679">
      <w:pPr>
        <w:pStyle w:val="FirstParagraph"/>
      </w:pPr>
      <w:r>
        <w:rPr>
          <w:rFonts w:ascii="Arial" w:hAnsi="Arial"/>
        </w:rPr>
        <w:t>The impact of a consulting engagement should extend beyond the project's completion date. Strategies for ensuring sustained value include providing follow-up support, offering ongoing training, or developing capability-building initiatives. This demonstrates a commitment to the client's long-term success and helps to solidify the consulting relationship.</w:t>
      </w:r>
    </w:p>
    <w:p w14:paraId="1B58BADE" w14:textId="77777777" w:rsidR="00D34560" w:rsidRDefault="00715679">
      <w:pPr>
        <w:pStyle w:val="Rubrik2"/>
      </w:pPr>
      <w:bookmarkStart w:id="22" w:name="X0a864a56f326c4f4e85c8f16111808e91e68a04"/>
      <w:bookmarkEnd w:id="21"/>
      <w:bookmarkEnd w:id="16"/>
      <w:r>
        <w:rPr>
          <w:rFonts w:ascii="Arial" w:hAnsi="Arial"/>
          <w:sz w:val="40"/>
        </w:rPr>
        <w:t>Steering Through Storms: Navigating Common Challenges in Client Engagement</w:t>
      </w:r>
    </w:p>
    <w:p w14:paraId="36058867" w14:textId="77777777" w:rsidR="00D34560" w:rsidRDefault="00715679">
      <w:pPr>
        <w:pStyle w:val="FirstParagraph"/>
      </w:pPr>
      <w:r>
        <w:rPr>
          <w:rFonts w:ascii="Arial" w:hAnsi="Arial"/>
        </w:rPr>
        <w:t>Even with the best intentions and strategies, client engagements can encounter challenges. This section addresses common obstacles consultants face and provides practical solutions for navigating them.</w:t>
      </w:r>
    </w:p>
    <w:p w14:paraId="0D4EA246" w14:textId="77777777" w:rsidR="00D34560" w:rsidRDefault="00715679">
      <w:pPr>
        <w:pStyle w:val="Rubrik3"/>
      </w:pPr>
      <w:bookmarkStart w:id="23" w:name="scope-creep"/>
      <w:r>
        <w:rPr>
          <w:rFonts w:ascii="Arial" w:hAnsi="Arial"/>
          <w:sz w:val="36"/>
        </w:rPr>
        <w:t>Scope Creep</w:t>
      </w:r>
    </w:p>
    <w:p w14:paraId="1CB41C84" w14:textId="77777777" w:rsidR="00D34560" w:rsidRDefault="00715679">
      <w:pPr>
        <w:pStyle w:val="FirstParagraph"/>
      </w:pPr>
      <w:r>
        <w:rPr>
          <w:rFonts w:ascii="Arial" w:hAnsi="Arial"/>
        </w:rPr>
        <w:t>Unmanaged expansion of project scope, or "scope creep," can derail projects. Preventative measures include:</w:t>
      </w:r>
    </w:p>
    <w:p w14:paraId="44B6B990" w14:textId="77777777" w:rsidR="00D34560" w:rsidRDefault="00715679">
      <w:pPr>
        <w:pStyle w:val="Compact"/>
        <w:numPr>
          <w:ilvl w:val="0"/>
          <w:numId w:val="2"/>
        </w:numPr>
      </w:pPr>
      <w:r>
        <w:rPr>
          <w:rFonts w:ascii="Arial" w:hAnsi="Arial"/>
        </w:rPr>
        <w:t>Clearly defining project scope and deliverables in the initial agreement.</w:t>
      </w:r>
    </w:p>
    <w:p w14:paraId="30F99956" w14:textId="77777777" w:rsidR="00D34560" w:rsidRDefault="00715679">
      <w:pPr>
        <w:pStyle w:val="Compact"/>
        <w:numPr>
          <w:ilvl w:val="0"/>
          <w:numId w:val="2"/>
        </w:numPr>
      </w:pPr>
      <w:r>
        <w:rPr>
          <w:rFonts w:ascii="Arial" w:hAnsi="Arial"/>
        </w:rPr>
        <w:lastRenderedPageBreak/>
        <w:t>Establishing a formal change control process to evaluate and approve scope changes.</w:t>
      </w:r>
    </w:p>
    <w:p w14:paraId="727C51C7" w14:textId="77777777" w:rsidR="00D34560" w:rsidRDefault="00715679">
      <w:pPr>
        <w:pStyle w:val="Compact"/>
        <w:numPr>
          <w:ilvl w:val="0"/>
          <w:numId w:val="2"/>
        </w:numPr>
      </w:pPr>
      <w:r>
        <w:rPr>
          <w:rFonts w:ascii="Arial" w:hAnsi="Arial"/>
        </w:rPr>
        <w:t>Communicating the impact of scope changes on timeline and budget.</w:t>
      </w:r>
    </w:p>
    <w:p w14:paraId="265A41D2" w14:textId="77777777" w:rsidR="00D34560" w:rsidRDefault="00715679">
      <w:pPr>
        <w:pStyle w:val="Rubrik3"/>
      </w:pPr>
      <w:bookmarkStart w:id="24" w:name="managing-difficult-stakeholders"/>
      <w:bookmarkEnd w:id="23"/>
      <w:r>
        <w:rPr>
          <w:rFonts w:ascii="Arial" w:hAnsi="Arial"/>
          <w:sz w:val="36"/>
        </w:rPr>
        <w:t>Managing Difficult Stakeholders</w:t>
      </w:r>
    </w:p>
    <w:p w14:paraId="6F9BD8CC" w14:textId="77777777" w:rsidR="00D34560" w:rsidRDefault="00715679">
      <w:pPr>
        <w:pStyle w:val="FirstParagraph"/>
      </w:pPr>
      <w:r>
        <w:rPr>
          <w:rFonts w:ascii="Arial" w:hAnsi="Arial"/>
        </w:rPr>
        <w:t>Resistance or conflicting priorities can hinder progress. Techniques include:</w:t>
      </w:r>
    </w:p>
    <w:p w14:paraId="48D8FD33" w14:textId="77777777" w:rsidR="00D34560" w:rsidRDefault="00715679">
      <w:pPr>
        <w:pStyle w:val="Compact"/>
        <w:numPr>
          <w:ilvl w:val="0"/>
          <w:numId w:val="3"/>
        </w:numPr>
      </w:pPr>
      <w:r>
        <w:rPr>
          <w:rFonts w:ascii="Arial" w:hAnsi="Arial"/>
        </w:rPr>
        <w:t>Identifying stakeholder motivations and concerns through active listening.</w:t>
      </w:r>
    </w:p>
    <w:p w14:paraId="4776675E" w14:textId="77777777" w:rsidR="00D34560" w:rsidRDefault="00715679">
      <w:pPr>
        <w:pStyle w:val="Compact"/>
        <w:numPr>
          <w:ilvl w:val="0"/>
          <w:numId w:val="3"/>
        </w:numPr>
      </w:pPr>
      <w:r>
        <w:rPr>
          <w:rFonts w:ascii="Arial" w:hAnsi="Arial"/>
        </w:rPr>
        <w:t>Finding common ground and shared objectives.</w:t>
      </w:r>
    </w:p>
    <w:p w14:paraId="246852D3" w14:textId="77777777" w:rsidR="00D34560" w:rsidRDefault="00715679">
      <w:pPr>
        <w:pStyle w:val="Compact"/>
        <w:numPr>
          <w:ilvl w:val="0"/>
          <w:numId w:val="3"/>
        </w:numPr>
      </w:pPr>
      <w:r>
        <w:rPr>
          <w:rFonts w:ascii="Arial" w:hAnsi="Arial"/>
        </w:rPr>
        <w:t>Facilitating open and honest communication to address concerns.</w:t>
      </w:r>
    </w:p>
    <w:p w14:paraId="513E1BAE" w14:textId="77777777" w:rsidR="00D34560" w:rsidRDefault="00715679">
      <w:pPr>
        <w:pStyle w:val="Compact"/>
        <w:numPr>
          <w:ilvl w:val="0"/>
          <w:numId w:val="3"/>
        </w:numPr>
      </w:pPr>
      <w:r>
        <w:rPr>
          <w:rFonts w:ascii="Arial" w:hAnsi="Arial"/>
        </w:rPr>
        <w:t>Building relationships with key stakeholders to foster trust and collaboration.</w:t>
      </w:r>
    </w:p>
    <w:p w14:paraId="56B8B06F" w14:textId="77777777" w:rsidR="00D34560" w:rsidRDefault="00715679">
      <w:pPr>
        <w:pStyle w:val="Rubrik3"/>
      </w:pPr>
      <w:bookmarkStart w:id="25" w:name="maintaining-engagement-in-long-projects"/>
      <w:bookmarkEnd w:id="24"/>
      <w:r>
        <w:rPr>
          <w:rFonts w:ascii="Arial" w:hAnsi="Arial"/>
          <w:sz w:val="36"/>
        </w:rPr>
        <w:t>Maintaining Engagement in Long Projects</w:t>
      </w:r>
    </w:p>
    <w:p w14:paraId="06558472" w14:textId="77777777" w:rsidR="00D34560" w:rsidRDefault="00715679">
      <w:pPr>
        <w:pStyle w:val="FirstParagraph"/>
      </w:pPr>
      <w:r>
        <w:rPr>
          <w:rFonts w:ascii="Arial" w:hAnsi="Arial"/>
        </w:rPr>
        <w:t>Extended timelines can lead to decreased client interest. Strategies include:</w:t>
      </w:r>
    </w:p>
    <w:p w14:paraId="19C6AF08" w14:textId="77777777" w:rsidR="00D34560" w:rsidRDefault="00715679">
      <w:pPr>
        <w:pStyle w:val="Compact"/>
        <w:numPr>
          <w:ilvl w:val="0"/>
          <w:numId w:val="4"/>
        </w:numPr>
      </w:pPr>
      <w:r>
        <w:rPr>
          <w:rFonts w:ascii="Arial" w:hAnsi="Arial"/>
        </w:rPr>
        <w:t>Breaking down large projects into smaller, manageable phases with clear milestones.</w:t>
      </w:r>
    </w:p>
    <w:p w14:paraId="7635806C" w14:textId="77777777" w:rsidR="00D34560" w:rsidRDefault="00715679">
      <w:pPr>
        <w:pStyle w:val="Compact"/>
        <w:numPr>
          <w:ilvl w:val="0"/>
          <w:numId w:val="4"/>
        </w:numPr>
      </w:pPr>
      <w:r>
        <w:rPr>
          <w:rFonts w:ascii="Arial" w:hAnsi="Arial"/>
        </w:rPr>
        <w:t>Regularly communicating progress and celebrating achievements.</w:t>
      </w:r>
    </w:p>
    <w:p w14:paraId="7D8CAA1D" w14:textId="77777777" w:rsidR="00D34560" w:rsidRDefault="00715679">
      <w:pPr>
        <w:pStyle w:val="Compact"/>
        <w:numPr>
          <w:ilvl w:val="0"/>
          <w:numId w:val="4"/>
        </w:numPr>
      </w:pPr>
      <w:r>
        <w:rPr>
          <w:rFonts w:ascii="Arial" w:hAnsi="Arial"/>
        </w:rPr>
        <w:t>Seeking client feedback and incorporating it into the project.</w:t>
      </w:r>
    </w:p>
    <w:p w14:paraId="1867168B" w14:textId="77777777" w:rsidR="00D34560" w:rsidRDefault="00715679">
      <w:pPr>
        <w:pStyle w:val="Compact"/>
        <w:numPr>
          <w:ilvl w:val="0"/>
          <w:numId w:val="4"/>
        </w:numPr>
      </w:pPr>
      <w:r>
        <w:rPr>
          <w:rFonts w:ascii="Arial" w:hAnsi="Arial"/>
        </w:rPr>
        <w:t>Introducing fresh perspectives or activities to maintain momentum.</w:t>
      </w:r>
    </w:p>
    <w:p w14:paraId="45D89DA6" w14:textId="77777777" w:rsidR="00D34560" w:rsidRDefault="00715679">
      <w:pPr>
        <w:pStyle w:val="Rubrik3"/>
      </w:pPr>
      <w:bookmarkStart w:id="26" w:name="cultural-misalignments"/>
      <w:bookmarkEnd w:id="25"/>
      <w:r>
        <w:rPr>
          <w:rFonts w:ascii="Arial" w:hAnsi="Arial"/>
          <w:sz w:val="36"/>
        </w:rPr>
        <w:t>Cultural Misalignments</w:t>
      </w:r>
    </w:p>
    <w:p w14:paraId="2224CA44" w14:textId="77777777" w:rsidR="00D34560" w:rsidRDefault="00715679">
      <w:pPr>
        <w:pStyle w:val="FirstParagraph"/>
      </w:pPr>
      <w:r>
        <w:rPr>
          <w:rFonts w:ascii="Arial" w:hAnsi="Arial"/>
        </w:rPr>
        <w:t>Differences in organizational culture or communication styles can create friction. Addressing them involves:</w:t>
      </w:r>
    </w:p>
    <w:p w14:paraId="787047D3" w14:textId="77777777" w:rsidR="00D34560" w:rsidRDefault="00715679">
      <w:pPr>
        <w:pStyle w:val="Compact"/>
        <w:numPr>
          <w:ilvl w:val="0"/>
          <w:numId w:val="5"/>
        </w:numPr>
      </w:pPr>
      <w:r>
        <w:rPr>
          <w:rFonts w:ascii="Arial" w:hAnsi="Arial"/>
        </w:rPr>
        <w:t>Understanding the client's organizational culture and values.</w:t>
      </w:r>
    </w:p>
    <w:p w14:paraId="0680618B" w14:textId="77777777" w:rsidR="00D34560" w:rsidRDefault="00715679">
      <w:pPr>
        <w:pStyle w:val="Compact"/>
        <w:numPr>
          <w:ilvl w:val="0"/>
          <w:numId w:val="5"/>
        </w:numPr>
      </w:pPr>
      <w:r>
        <w:rPr>
          <w:rFonts w:ascii="Arial" w:hAnsi="Arial"/>
        </w:rPr>
        <w:t>Adapting communication styles to align with the client's preferences.</w:t>
      </w:r>
    </w:p>
    <w:p w14:paraId="062AB697" w14:textId="77777777" w:rsidR="00D34560" w:rsidRDefault="00715679">
      <w:pPr>
        <w:pStyle w:val="Compact"/>
        <w:numPr>
          <w:ilvl w:val="0"/>
          <w:numId w:val="5"/>
        </w:numPr>
      </w:pPr>
      <w:r>
        <w:rPr>
          <w:rFonts w:ascii="Arial" w:hAnsi="Arial"/>
        </w:rPr>
        <w:t>Facilitating cross-cultural training or workshops.</w:t>
      </w:r>
    </w:p>
    <w:p w14:paraId="2FAB6EF6" w14:textId="77777777" w:rsidR="00D34560" w:rsidRDefault="00715679">
      <w:pPr>
        <w:pStyle w:val="Compact"/>
        <w:numPr>
          <w:ilvl w:val="0"/>
          <w:numId w:val="5"/>
        </w:numPr>
      </w:pPr>
      <w:r>
        <w:rPr>
          <w:rFonts w:ascii="Arial" w:hAnsi="Arial"/>
        </w:rPr>
        <w:t>Establishing clear communication protocols to minimize misunderstandings.</w:t>
      </w:r>
    </w:p>
    <w:p w14:paraId="5ECC9E5E" w14:textId="77777777" w:rsidR="00D34560" w:rsidRDefault="00715679">
      <w:pPr>
        <w:pStyle w:val="Rubrik3"/>
      </w:pPr>
      <w:bookmarkStart w:id="27" w:name="unrealistic-expectations"/>
      <w:bookmarkEnd w:id="26"/>
      <w:r>
        <w:rPr>
          <w:rFonts w:ascii="Arial" w:hAnsi="Arial"/>
          <w:sz w:val="36"/>
        </w:rPr>
        <w:t>Unrealistic Expectations</w:t>
      </w:r>
    </w:p>
    <w:p w14:paraId="6AE47588" w14:textId="77777777" w:rsidR="00D34560" w:rsidRDefault="00715679">
      <w:pPr>
        <w:pStyle w:val="FirstParagraph"/>
      </w:pPr>
      <w:r>
        <w:rPr>
          <w:rFonts w:ascii="Arial" w:hAnsi="Arial"/>
        </w:rPr>
        <w:t>Misaligned expectations can lead to dissatisfaction. Proactive strategies include:</w:t>
      </w:r>
    </w:p>
    <w:p w14:paraId="597DC622" w14:textId="77777777" w:rsidR="00D34560" w:rsidRDefault="00715679">
      <w:pPr>
        <w:pStyle w:val="Compact"/>
        <w:numPr>
          <w:ilvl w:val="0"/>
          <w:numId w:val="6"/>
        </w:numPr>
      </w:pPr>
      <w:r>
        <w:rPr>
          <w:rFonts w:ascii="Arial" w:hAnsi="Arial"/>
        </w:rPr>
        <w:t>Setting clear and realistic expectations from the outset.</w:t>
      </w:r>
    </w:p>
    <w:p w14:paraId="4926FD90" w14:textId="77777777" w:rsidR="00D34560" w:rsidRDefault="00715679">
      <w:pPr>
        <w:pStyle w:val="Compact"/>
        <w:numPr>
          <w:ilvl w:val="0"/>
          <w:numId w:val="6"/>
        </w:numPr>
      </w:pPr>
      <w:r>
        <w:rPr>
          <w:rFonts w:ascii="Arial" w:hAnsi="Arial"/>
        </w:rPr>
        <w:t>Regularly re-calibrating expectations as the project evolves.</w:t>
      </w:r>
    </w:p>
    <w:p w14:paraId="77DA56C6" w14:textId="77777777" w:rsidR="00D34560" w:rsidRDefault="00715679">
      <w:pPr>
        <w:pStyle w:val="Compact"/>
        <w:numPr>
          <w:ilvl w:val="0"/>
          <w:numId w:val="6"/>
        </w:numPr>
      </w:pPr>
      <w:r>
        <w:rPr>
          <w:rFonts w:ascii="Arial" w:hAnsi="Arial"/>
        </w:rPr>
        <w:t>Communicating potential challenges and limitations openly.</w:t>
      </w:r>
    </w:p>
    <w:p w14:paraId="0E3FE57D" w14:textId="77777777" w:rsidR="00D34560" w:rsidRDefault="00715679">
      <w:pPr>
        <w:pStyle w:val="Compact"/>
        <w:numPr>
          <w:ilvl w:val="0"/>
          <w:numId w:val="6"/>
        </w:numPr>
      </w:pPr>
      <w:r>
        <w:rPr>
          <w:rFonts w:ascii="Arial" w:hAnsi="Arial"/>
        </w:rPr>
        <w:t>Providing data-driven insights to support recommendations and manage expectations.</w:t>
      </w:r>
    </w:p>
    <w:p w14:paraId="4453B41E" w14:textId="77777777" w:rsidR="00D34560" w:rsidRDefault="00715679">
      <w:pPr>
        <w:pStyle w:val="Rubrik2"/>
      </w:pPr>
      <w:bookmarkStart w:id="28" w:name="Xd254511b9c7b605e94363dfda1fdf3b0b9a8e6a"/>
      <w:bookmarkEnd w:id="27"/>
      <w:bookmarkEnd w:id="22"/>
      <w:r>
        <w:rPr>
          <w:rFonts w:ascii="Arial" w:hAnsi="Arial"/>
          <w:sz w:val="40"/>
        </w:rPr>
        <w:lastRenderedPageBreak/>
        <w:t>The Digital Toolkit: Leveraging Technology to Enhance Client Engagement</w:t>
      </w:r>
    </w:p>
    <w:p w14:paraId="5A31B638" w14:textId="77777777" w:rsidR="00D34560" w:rsidRDefault="00715679">
      <w:pPr>
        <w:pStyle w:val="FirstParagraph"/>
      </w:pPr>
      <w:r>
        <w:rPr>
          <w:rFonts w:ascii="Arial" w:hAnsi="Arial"/>
        </w:rPr>
        <w:t>Technology plays a pivotal role in modern consulting, enhancing client engagement without overshadowing the human element. Strategic tool selection is key to streamlining communication, improving transparency, and demonstrating value.</w:t>
      </w:r>
    </w:p>
    <w:p w14:paraId="40285B95" w14:textId="77777777" w:rsidR="00D34560" w:rsidRDefault="00715679">
      <w:pPr>
        <w:pStyle w:val="Compact"/>
        <w:numPr>
          <w:ilvl w:val="0"/>
          <w:numId w:val="7"/>
        </w:numPr>
      </w:pPr>
      <w:r>
        <w:rPr>
          <w:rFonts w:ascii="Arial" w:hAnsi="Arial"/>
          <w:b/>
          <w:bCs/>
        </w:rPr>
        <w:t>Communication and Collaboration Platforms:</w:t>
      </w:r>
      <w:r>
        <w:rPr>
          <w:rFonts w:ascii="Arial" w:hAnsi="Arial"/>
        </w:rPr>
        <w:t xml:space="preserve"> Tools like Slack, Microsoft Teams, and Zoom enable seamless real-time interaction and information exchange, fostering a sense of partnership even in remote settings.</w:t>
      </w:r>
    </w:p>
    <w:p w14:paraId="674E49C7" w14:textId="77777777" w:rsidR="00D34560" w:rsidRDefault="00715679">
      <w:pPr>
        <w:pStyle w:val="Compact"/>
        <w:numPr>
          <w:ilvl w:val="0"/>
          <w:numId w:val="7"/>
        </w:numPr>
      </w:pPr>
      <w:r>
        <w:rPr>
          <w:rFonts w:ascii="Arial" w:hAnsi="Arial"/>
          <w:b/>
          <w:bCs/>
        </w:rPr>
        <w:t>Project Management Software:</w:t>
      </w:r>
      <w:r>
        <w:rPr>
          <w:rFonts w:ascii="Arial" w:hAnsi="Arial"/>
        </w:rPr>
        <w:t xml:space="preserve"> Platforms such as Asana, Trello, and Jira offer transparency in progress tracking and task management, ensuring clients are always informed about project status.</w:t>
      </w:r>
    </w:p>
    <w:p w14:paraId="417151A7" w14:textId="77777777" w:rsidR="00D34560" w:rsidRDefault="00715679">
      <w:pPr>
        <w:pStyle w:val="Compact"/>
        <w:numPr>
          <w:ilvl w:val="0"/>
          <w:numId w:val="7"/>
        </w:numPr>
      </w:pPr>
      <w:r>
        <w:rPr>
          <w:rFonts w:ascii="Arial" w:hAnsi="Arial"/>
          <w:b/>
          <w:bCs/>
        </w:rPr>
        <w:t>CRM Systems:</w:t>
      </w:r>
      <w:r>
        <w:rPr>
          <w:rFonts w:ascii="Arial" w:hAnsi="Arial"/>
        </w:rPr>
        <w:t xml:space="preserve"> These systems facilitate effective management of client information, interaction history, and relationship touchpoints, enabling personalized communication.</w:t>
      </w:r>
    </w:p>
    <w:p w14:paraId="33563EE6" w14:textId="77777777" w:rsidR="00D34560" w:rsidRDefault="00715679">
      <w:pPr>
        <w:pStyle w:val="Compact"/>
        <w:numPr>
          <w:ilvl w:val="0"/>
          <w:numId w:val="7"/>
        </w:numPr>
      </w:pPr>
      <w:r>
        <w:rPr>
          <w:rFonts w:ascii="Arial" w:hAnsi="Arial"/>
          <w:b/>
          <w:bCs/>
        </w:rPr>
        <w:t>Data Analytics and Reporting Tools:</w:t>
      </w:r>
      <w:r>
        <w:rPr>
          <w:rFonts w:ascii="Arial" w:hAnsi="Arial"/>
        </w:rPr>
        <w:t xml:space="preserve"> Visualizing data through tools helps clearly demonstrate progress, insights, and the value delivered. It provides concrete evidence of the consultant's impact.</w:t>
      </w:r>
    </w:p>
    <w:p w14:paraId="0EB7BF1F" w14:textId="77777777" w:rsidR="00D34560" w:rsidRDefault="00715679">
      <w:pPr>
        <w:pStyle w:val="Compact"/>
        <w:numPr>
          <w:ilvl w:val="0"/>
          <w:numId w:val="7"/>
        </w:numPr>
      </w:pPr>
      <w:r>
        <w:rPr>
          <w:rFonts w:ascii="Arial" w:hAnsi="Arial"/>
          <w:b/>
          <w:bCs/>
        </w:rPr>
        <w:t>Virtual Meeting Technologies &amp; Best Practices:</w:t>
      </w:r>
      <w:r>
        <w:rPr>
          <w:rFonts w:ascii="Arial" w:hAnsi="Arial"/>
        </w:rPr>
        <w:t xml:space="preserve"> </w:t>
      </w:r>
      <w:r>
        <w:rPr>
          <w:rFonts w:ascii="Arial" w:hAnsi="Arial"/>
        </w:rPr>
        <w:t>With thoughtful planning and facilitation, virtual meetings can be as effective and personal as in-person interactions, maintaining strong client rapport regardless of location.</w:t>
      </w:r>
    </w:p>
    <w:p w14:paraId="3A2BB944" w14:textId="77777777" w:rsidR="00D34560" w:rsidRDefault="00715679">
      <w:pPr>
        <w:pStyle w:val="Compact"/>
        <w:numPr>
          <w:ilvl w:val="0"/>
          <w:numId w:val="7"/>
        </w:numPr>
      </w:pPr>
      <w:r>
        <w:rPr>
          <w:rFonts w:ascii="Arial" w:hAnsi="Arial"/>
          <w:b/>
          <w:bCs/>
        </w:rPr>
        <w:t>Client Portals/Knowledge Sharing Platforms:</w:t>
      </w:r>
      <w:r>
        <w:rPr>
          <w:rFonts w:ascii="Arial" w:hAnsi="Arial"/>
        </w:rPr>
        <w:t xml:space="preserve"> Providing clients with easy access to relevant documents, resources, and project updates through dedicated portals ensures transparency and empowers them to stay informed.</w:t>
      </w:r>
    </w:p>
    <w:p w14:paraId="3A6F379A" w14:textId="77777777" w:rsidR="00D34560" w:rsidRDefault="00715679">
      <w:pPr>
        <w:pStyle w:val="FirstParagraph"/>
      </w:pPr>
      <w:r>
        <w:rPr>
          <w:rFonts w:ascii="Arial" w:hAnsi="Arial"/>
        </w:rPr>
        <w:t>It’s important to choose tools that enhance, not complicate, the client experience. Consultants should guard against over-reliance on technology, ensuring personal connection remains a priority.</w:t>
      </w:r>
    </w:p>
    <w:p w14:paraId="57B4D6E0" w14:textId="77777777" w:rsidR="00D34560" w:rsidRDefault="00715679">
      <w:pPr>
        <w:pStyle w:val="Rubrik2"/>
      </w:pPr>
      <w:bookmarkStart w:id="29" w:name="X75762c93fbcce6ab04286986fd759183b403039"/>
      <w:bookmarkEnd w:id="28"/>
      <w:r>
        <w:rPr>
          <w:rFonts w:ascii="Arial" w:hAnsi="Arial"/>
          <w:sz w:val="40"/>
        </w:rPr>
        <w:t>Horizon Scanning: The Future of Client Engagement in the Consulting Arena</w:t>
      </w:r>
    </w:p>
    <w:p w14:paraId="4FA4379A" w14:textId="77777777" w:rsidR="00D34560" w:rsidRDefault="00715679">
      <w:pPr>
        <w:pStyle w:val="FirstParagraph"/>
      </w:pPr>
      <w:r>
        <w:rPr>
          <w:rFonts w:ascii="Arial" w:hAnsi="Arial"/>
        </w:rPr>
        <w:t>The consulting arena is poised for significant evolution in client engagement. Increased personalization and hyper-customization will become paramount, tailoring strategies to precise client needs. AI and automation will augment human capabilities, providing data analysis and personalized communication prompts, but should not replace the crucial human connection.</w:t>
      </w:r>
    </w:p>
    <w:p w14:paraId="69F5DBD2" w14:textId="77777777" w:rsidR="00D34560" w:rsidRDefault="00715679">
      <w:pPr>
        <w:pStyle w:val="Brdtext"/>
      </w:pPr>
      <w:r>
        <w:rPr>
          <w:rFonts w:ascii="Arial" w:hAnsi="Arial"/>
        </w:rPr>
        <w:t>Engagement models will also shift. Subscription/retainer models, value-based pricing, and outcome-based contracts will shape long-term relationship building, aligning consultant incentives with client success. Sustainability and purpose-driven consulting will gain prominence as clients increasingly prioritize ESG factors, requiring consultants to engage on broader societal values.</w:t>
      </w:r>
    </w:p>
    <w:p w14:paraId="17FEEF11" w14:textId="77777777" w:rsidR="00D34560" w:rsidRDefault="00715679">
      <w:pPr>
        <w:pStyle w:val="Brdtext"/>
      </w:pPr>
      <w:r>
        <w:rPr>
          <w:rFonts w:ascii="Arial" w:hAnsi="Arial"/>
        </w:rPr>
        <w:lastRenderedPageBreak/>
        <w:t>Data-driven engagement strategies will leverage analytics to understand client behavior, predict needs, and optimize engagement tactics. Consultants must embrace adaptability, continuous learning, and innovation to navigate this evolving landscape effectively.</w:t>
      </w:r>
    </w:p>
    <w:p w14:paraId="2A26289B" w14:textId="77777777" w:rsidR="00D34560" w:rsidRDefault="00715679">
      <w:pPr>
        <w:pStyle w:val="Rubrik2"/>
      </w:pPr>
      <w:bookmarkStart w:id="30" w:name="X1c0b7d57e4d10a90a00f44f364b8b8e2175418d"/>
      <w:bookmarkEnd w:id="29"/>
      <w:r>
        <w:rPr>
          <w:rFonts w:ascii="Arial" w:hAnsi="Arial"/>
          <w:sz w:val="40"/>
        </w:rPr>
        <w:t>Conclusion: Cultivating Enduring Partnerships Through Masterful Engagement</w:t>
      </w:r>
    </w:p>
    <w:p w14:paraId="14F09C73" w14:textId="77777777" w:rsidR="00D34560" w:rsidRDefault="00715679">
      <w:pPr>
        <w:pStyle w:val="FirstParagraph"/>
      </w:pPr>
      <w:r>
        <w:rPr>
          <w:rFonts w:ascii="Arial" w:hAnsi="Arial"/>
        </w:rPr>
        <w:t>In conclusion, exceptional client engagement—built upon trust, effective communication, and demonstrable value—is paramount for success in modern consulting. A client-centric mindset is crucial; the consultant must serve as a trusted advisor and partner, deeply understanding and proactively addressing client needs.</w:t>
      </w:r>
    </w:p>
    <w:p w14:paraId="6DAEAEF5" w14:textId="77777777" w:rsidR="00D34560" w:rsidRDefault="00715679">
      <w:pPr>
        <w:pStyle w:val="Brdtext"/>
      </w:pPr>
      <w:r>
        <w:rPr>
          <w:rFonts w:ascii="Arial" w:hAnsi="Arial"/>
        </w:rPr>
        <w:t>We encourage consultants to reflect on their current practices and actively implement the strategies discussed. By doing so, they can build stronger, more meaningful, and mutually beneficial client relationships that endure, fostering enduring partnerships and long-term success for both the consultant and the client.</w:t>
      </w:r>
    </w:p>
    <w:bookmarkEnd w:id="30"/>
    <w:bookmarkEnd w:id="0"/>
    <w:sectPr w:rsidR="00D3456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4196" w14:textId="77777777" w:rsidR="00715679" w:rsidRDefault="00715679">
      <w:pPr>
        <w:spacing w:after="0"/>
      </w:pPr>
      <w:r>
        <w:separator/>
      </w:r>
    </w:p>
  </w:endnote>
  <w:endnote w:type="continuationSeparator" w:id="0">
    <w:p w14:paraId="16F7154A" w14:textId="77777777" w:rsidR="00715679" w:rsidRDefault="007156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393B" w14:textId="77777777" w:rsidR="00D34560" w:rsidRDefault="00715679">
      <w:r>
        <w:separator/>
      </w:r>
    </w:p>
  </w:footnote>
  <w:footnote w:type="continuationSeparator" w:id="0">
    <w:p w14:paraId="4A7BE1B3" w14:textId="77777777" w:rsidR="00D34560" w:rsidRDefault="0071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ECE0A8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B122B4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426345642">
    <w:abstractNumId w:val="0"/>
  </w:num>
  <w:num w:numId="2" w16cid:durableId="1422599674">
    <w:abstractNumId w:val="1"/>
  </w:num>
  <w:num w:numId="3" w16cid:durableId="1017806698">
    <w:abstractNumId w:val="1"/>
  </w:num>
  <w:num w:numId="4" w16cid:durableId="2054111874">
    <w:abstractNumId w:val="1"/>
  </w:num>
  <w:num w:numId="5" w16cid:durableId="2091463943">
    <w:abstractNumId w:val="1"/>
  </w:num>
  <w:num w:numId="6" w16cid:durableId="987366103">
    <w:abstractNumId w:val="1"/>
  </w:num>
  <w:num w:numId="7" w16cid:durableId="430668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60"/>
    <w:rsid w:val="006A1D63"/>
    <w:rsid w:val="00715679"/>
    <w:rsid w:val="00D345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9CA51"/>
  <w15:docId w15:val="{8343B81A-C552-384B-99D0-6D54C9C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1">
    <w:name w:val="heading 1"/>
    <w:basedOn w:val="Normal"/>
    <w:next w:val="Brd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Rubrik2">
    <w:name w:val="heading 2"/>
    <w:basedOn w:val="Normal"/>
    <w:next w:val="Brd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Rubrik3">
    <w:name w:val="heading 3"/>
    <w:basedOn w:val="Normal"/>
    <w:next w:val="Brd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Brd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Rubrik5">
    <w:name w:val="heading 5"/>
    <w:basedOn w:val="Normal"/>
    <w:next w:val="Brd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Rubrik6">
    <w:name w:val="heading 6"/>
    <w:basedOn w:val="Normal"/>
    <w:next w:val="Brd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Rubrik7">
    <w:name w:val="heading 7"/>
    <w:basedOn w:val="Normal"/>
    <w:next w:val="Brd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Rubrik8">
    <w:name w:val="heading 8"/>
    <w:basedOn w:val="Normal"/>
    <w:next w:val="Brd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Rubrik9">
    <w:name w:val="heading 9"/>
    <w:basedOn w:val="Normal"/>
    <w:next w:val="Brd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qFormat/>
    <w:pPr>
      <w:spacing w:before="180" w:after="180"/>
    </w:pPr>
  </w:style>
  <w:style w:type="paragraph" w:customStyle="1" w:styleId="FirstParagraph">
    <w:name w:val="First Paragraph"/>
    <w:basedOn w:val="Brdtext"/>
    <w:next w:val="Brdtext"/>
    <w:qFormat/>
  </w:style>
  <w:style w:type="paragraph" w:customStyle="1" w:styleId="Compact">
    <w:name w:val="Compact"/>
    <w:basedOn w:val="Brdtext"/>
    <w:qFormat/>
    <w:pPr>
      <w:spacing w:before="36" w:after="36"/>
    </w:pPr>
  </w:style>
  <w:style w:type="paragraph" w:styleId="Rubrik">
    <w:name w:val="Title"/>
    <w:basedOn w:val="Normal"/>
    <w:next w:val="Brd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derrubrik">
    <w:name w:val="Subtitle"/>
    <w:basedOn w:val="Rubrik"/>
    <w:next w:val="Brdtext"/>
    <w:qFormat/>
    <w:pPr>
      <w:spacing w:before="240"/>
    </w:pPr>
    <w:rPr>
      <w:sz w:val="30"/>
      <w:szCs w:val="30"/>
    </w:rPr>
  </w:style>
  <w:style w:type="paragraph" w:customStyle="1" w:styleId="Author">
    <w:name w:val="Author"/>
    <w:next w:val="Brdtext"/>
    <w:qFormat/>
    <w:pPr>
      <w:keepNext/>
      <w:keepLines/>
      <w:jc w:val="center"/>
    </w:pPr>
  </w:style>
  <w:style w:type="paragraph" w:styleId="Datum">
    <w:name w:val="Date"/>
    <w:next w:val="Brdtext"/>
    <w:qFormat/>
    <w:pPr>
      <w:keepNext/>
      <w:keepLines/>
      <w:jc w:val="center"/>
    </w:pPr>
  </w:style>
  <w:style w:type="paragraph" w:customStyle="1" w:styleId="Abstract">
    <w:name w:val="Abstract"/>
    <w:basedOn w:val="Normal"/>
    <w:next w:val="Brdtext"/>
    <w:qFormat/>
    <w:pPr>
      <w:keepNext/>
      <w:keepLines/>
      <w:spacing w:before="300" w:after="300"/>
    </w:pPr>
    <w:rPr>
      <w:sz w:val="20"/>
      <w:szCs w:val="20"/>
    </w:rPr>
  </w:style>
  <w:style w:type="paragraph" w:styleId="Litteraturfrteckning">
    <w:name w:val="Bibliography"/>
    <w:basedOn w:val="Normal"/>
    <w:qFormat/>
  </w:style>
  <w:style w:type="paragraph" w:styleId="Indragetstycke">
    <w:name w:val="Block Text"/>
    <w:basedOn w:val="Brdtext"/>
    <w:next w:val="Brdtext"/>
    <w:uiPriority w:val="9"/>
    <w:unhideWhenUsed/>
    <w:qFormat/>
    <w:pPr>
      <w:spacing w:before="100" w:after="100"/>
      <w:ind w:left="480" w:right="480"/>
    </w:pPr>
  </w:style>
  <w:style w:type="paragraph" w:styleId="Fotnots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eskrivning">
    <w:name w:val="caption"/>
    <w:basedOn w:val="Normal"/>
    <w:link w:val="BeskrivningChar"/>
    <w:pPr>
      <w:spacing w:after="120"/>
    </w:pPr>
    <w:rPr>
      <w:i/>
    </w:rPr>
  </w:style>
  <w:style w:type="paragraph" w:customStyle="1" w:styleId="TableCaption">
    <w:name w:val="Table Caption"/>
    <w:basedOn w:val="Beskrivning"/>
    <w:pPr>
      <w:keepNext/>
    </w:pPr>
  </w:style>
  <w:style w:type="paragraph" w:customStyle="1" w:styleId="ImageCaption">
    <w:name w:val="Image Caption"/>
    <w:basedOn w:val="Beskrivning"/>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eskrivningChar">
    <w:name w:val="Beskrivning Char"/>
    <w:basedOn w:val="Standardstycketeckensnitt"/>
    <w:link w:val="Beskrivning"/>
  </w:style>
  <w:style w:type="character" w:customStyle="1" w:styleId="VerbatimChar">
    <w:name w:val="Verbatim Char"/>
    <w:basedOn w:val="BeskrivningChar"/>
    <w:link w:val="SourceCode"/>
    <w:rPr>
      <w:rFonts w:ascii="Consolas" w:hAnsi="Consolas"/>
      <w:sz w:val="22"/>
    </w:rPr>
  </w:style>
  <w:style w:type="character" w:customStyle="1" w:styleId="SectionNumber">
    <w:name w:val="Section Number"/>
    <w:basedOn w:val="BeskrivningChar"/>
  </w:style>
  <w:style w:type="character" w:styleId="Fotnotsreferens">
    <w:name w:val="footnote reference"/>
    <w:basedOn w:val="BeskrivningChar"/>
    <w:rPr>
      <w:vertAlign w:val="superscript"/>
    </w:rPr>
  </w:style>
  <w:style w:type="character" w:styleId="Hyperlnk">
    <w:name w:val="Hyperlink"/>
    <w:basedOn w:val="BeskrivningChar"/>
    <w:rPr>
      <w:color w:val="4F81BD" w:themeColor="accent1"/>
    </w:rPr>
  </w:style>
  <w:style w:type="paragraph" w:styleId="Innehllsfrteckningsrubrik">
    <w:name w:val="TOC Heading"/>
    <w:basedOn w:val="Rubrik1"/>
    <w:next w:val="Brd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2305</Words>
  <Characters>14916</Characters>
  <Application>Microsoft Office Word</Application>
  <DocSecurity>0</DocSecurity>
  <Lines>240</Lines>
  <Paragraphs>81</Paragraphs>
  <ScaleCrop>false</ScaleCrop>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Jaani</dc:creator>
  <cp:keywords/>
  <cp:lastModifiedBy>Jonas Jaani</cp:lastModifiedBy>
  <cp:revision>2</cp:revision>
  <dcterms:created xsi:type="dcterms:W3CDTF">2025-05-26T15:18:00Z</dcterms:created>
  <dcterms:modified xsi:type="dcterms:W3CDTF">2025-05-26T15:18:00Z</dcterms:modified>
</cp:coreProperties>
</file>